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77AF" w14:textId="77777777" w:rsidR="00377D4A" w:rsidRDefault="00377D4A">
      <w:pPr>
        <w:pStyle w:val="Tijeloteksta"/>
        <w:ind w:firstLine="720"/>
        <w:rPr>
          <w:sz w:val="22"/>
          <w:szCs w:val="22"/>
        </w:rPr>
      </w:pPr>
    </w:p>
    <w:p w14:paraId="5D4A1EAF" w14:textId="77777777" w:rsidR="00377D4A" w:rsidRDefault="00377D4A">
      <w:pPr>
        <w:pStyle w:val="Tijeloteksta"/>
        <w:rPr>
          <w:szCs w:val="24"/>
        </w:rPr>
      </w:pPr>
    </w:p>
    <w:p w14:paraId="7F87FC8F" w14:textId="580B58F5" w:rsidR="00377D4A" w:rsidRDefault="002A04BC">
      <w:pPr>
        <w:pStyle w:val="Tijeloteksta"/>
        <w:ind w:firstLine="720"/>
        <w:rPr>
          <w:sz w:val="22"/>
          <w:szCs w:val="22"/>
        </w:rPr>
      </w:pPr>
      <w:bookmarkStart w:id="0" w:name="_Hlk153975899"/>
      <w:r>
        <w:rPr>
          <w:sz w:val="22"/>
          <w:szCs w:val="22"/>
        </w:rPr>
        <w:t>Na temelju članka 33. Zakona o stambenom zbrinjavanju na potpomognutim područjima (Narodne novine 106/18, 98/19</w:t>
      </w:r>
      <w:r w:rsidR="00C80F85">
        <w:rPr>
          <w:sz w:val="22"/>
          <w:szCs w:val="22"/>
        </w:rPr>
        <w:t>, 82/23</w:t>
      </w:r>
      <w:r>
        <w:rPr>
          <w:sz w:val="22"/>
          <w:szCs w:val="22"/>
        </w:rPr>
        <w:t>), te članka 32.Statuta Općine Kneževi Vinogradi ( “Službeni glasnik” 3/13, 3/18, 3/20</w:t>
      </w:r>
      <w:r w:rsidR="00E017F4">
        <w:rPr>
          <w:sz w:val="22"/>
          <w:szCs w:val="22"/>
        </w:rPr>
        <w:t>, 1/21, 4/21</w:t>
      </w:r>
      <w:r>
        <w:rPr>
          <w:sz w:val="22"/>
          <w:szCs w:val="22"/>
        </w:rPr>
        <w:t xml:space="preserve">), Općinsko vijeće Općine Kneževi Vinogradi, na svojoj </w:t>
      </w:r>
      <w:r w:rsidR="008D2201">
        <w:rPr>
          <w:sz w:val="22"/>
          <w:szCs w:val="22"/>
        </w:rPr>
        <w:t>26</w:t>
      </w:r>
      <w:r>
        <w:rPr>
          <w:sz w:val="22"/>
          <w:szCs w:val="22"/>
        </w:rPr>
        <w:t xml:space="preserve">.sjednici, održanoj </w:t>
      </w:r>
      <w:r w:rsidR="008D2201">
        <w:rPr>
          <w:sz w:val="22"/>
          <w:szCs w:val="22"/>
        </w:rPr>
        <w:t>14.12.2023</w:t>
      </w:r>
      <w:r w:rsidR="00F51408">
        <w:rPr>
          <w:sz w:val="22"/>
          <w:szCs w:val="22"/>
        </w:rPr>
        <w:t>.</w:t>
      </w:r>
      <w:r>
        <w:rPr>
          <w:sz w:val="22"/>
          <w:szCs w:val="22"/>
        </w:rPr>
        <w:t xml:space="preserve">godine donijelo je donijelo je </w:t>
      </w:r>
    </w:p>
    <w:p w14:paraId="1EF0E3C0" w14:textId="77777777" w:rsidR="00377D4A" w:rsidRDefault="00377D4A">
      <w:pPr>
        <w:pStyle w:val="Tijeloteksta"/>
        <w:ind w:firstLine="720"/>
        <w:rPr>
          <w:szCs w:val="24"/>
        </w:rPr>
      </w:pPr>
    </w:p>
    <w:p w14:paraId="1A5E0283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 L A N</w:t>
      </w:r>
    </w:p>
    <w:p w14:paraId="23931330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UTROŠKA SREDSTAVA PRIHODA OD PRODAJE STANOVA </w:t>
      </w:r>
    </w:p>
    <w:p w14:paraId="5C53E9BC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VLASNIŠTVU REPUBLIKE HRVATSKE </w:t>
      </w:r>
    </w:p>
    <w:p w14:paraId="1A3AAE36" w14:textId="77777777" w:rsidR="00377D4A" w:rsidRDefault="00377D4A">
      <w:pPr>
        <w:pStyle w:val="Tijeloteksta"/>
        <w:rPr>
          <w:szCs w:val="24"/>
        </w:rPr>
      </w:pPr>
    </w:p>
    <w:p w14:paraId="583A0A15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45A1B7DF" w14:textId="1D8629EF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  <w:t xml:space="preserve">Donosi se Plan utroška sredstava prihoda od prodaje stanova u vlasništvu Republike Hrvatske u </w:t>
      </w:r>
      <w:r w:rsidR="00C80F85">
        <w:rPr>
          <w:szCs w:val="24"/>
        </w:rPr>
        <w:t>2024</w:t>
      </w:r>
      <w:r>
        <w:rPr>
          <w:szCs w:val="24"/>
        </w:rPr>
        <w:t xml:space="preserve">.godini, temeljen na planiranim sredstvima u Proračunu Općine Kneževi Vinogradi za </w:t>
      </w:r>
      <w:r w:rsidR="00C80F85">
        <w:rPr>
          <w:szCs w:val="24"/>
        </w:rPr>
        <w:t>2024</w:t>
      </w:r>
      <w:r>
        <w:rPr>
          <w:szCs w:val="24"/>
        </w:rPr>
        <w:t>.godinu.</w:t>
      </w:r>
    </w:p>
    <w:p w14:paraId="6817C398" w14:textId="77777777" w:rsidR="00377D4A" w:rsidRDefault="00377D4A">
      <w:pPr>
        <w:pStyle w:val="Tijeloteksta"/>
        <w:rPr>
          <w:szCs w:val="24"/>
        </w:rPr>
      </w:pPr>
    </w:p>
    <w:p w14:paraId="72B79966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0884CF93" w14:textId="40956B1E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  <w:t xml:space="preserve">Prihod od prodaje stanova u vlasništvu RH planiran je Proračunom za </w:t>
      </w:r>
      <w:r w:rsidR="00C80F85">
        <w:rPr>
          <w:szCs w:val="24"/>
        </w:rPr>
        <w:t>2024</w:t>
      </w:r>
      <w:r>
        <w:rPr>
          <w:szCs w:val="24"/>
        </w:rPr>
        <w:t xml:space="preserve">.godinu u iznosu od </w:t>
      </w:r>
      <w:r w:rsidR="00C80F85">
        <w:rPr>
          <w:szCs w:val="24"/>
        </w:rPr>
        <w:t>2</w:t>
      </w:r>
      <w:r>
        <w:rPr>
          <w:szCs w:val="24"/>
        </w:rPr>
        <w:t xml:space="preserve">.000,00 </w:t>
      </w:r>
      <w:r w:rsidR="00D61F10">
        <w:rPr>
          <w:szCs w:val="24"/>
        </w:rPr>
        <w:t>EUR-a</w:t>
      </w:r>
      <w:r>
        <w:rPr>
          <w:szCs w:val="24"/>
        </w:rPr>
        <w:t>.</w:t>
      </w:r>
    </w:p>
    <w:p w14:paraId="6A1BF512" w14:textId="77777777" w:rsidR="00377D4A" w:rsidRDefault="00377D4A">
      <w:pPr>
        <w:pStyle w:val="Tijeloteksta"/>
        <w:rPr>
          <w:szCs w:val="24"/>
        </w:rPr>
      </w:pPr>
    </w:p>
    <w:p w14:paraId="4D9595FF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7EA82509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Sredstvima iz članka 1.ovog Plana planirana je modernizacija i izgradnja javne rasvjete na području Općine Kneževi Vinogradi.</w:t>
      </w:r>
    </w:p>
    <w:p w14:paraId="13A1BC77" w14:textId="77777777" w:rsidR="00377D4A" w:rsidRDefault="00377D4A">
      <w:pPr>
        <w:pStyle w:val="Tijeloteksta"/>
        <w:ind w:firstLine="720"/>
        <w:rPr>
          <w:szCs w:val="24"/>
        </w:rPr>
      </w:pPr>
    </w:p>
    <w:p w14:paraId="3EC7CDD0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122F8154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Plana sukladno planu i financijskim sredstvima.</w:t>
      </w:r>
    </w:p>
    <w:p w14:paraId="4381220C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Plana.</w:t>
      </w:r>
    </w:p>
    <w:p w14:paraId="4C03F87B" w14:textId="77777777" w:rsidR="00377D4A" w:rsidRDefault="00377D4A">
      <w:pPr>
        <w:pStyle w:val="Tijeloteksta"/>
        <w:jc w:val="center"/>
        <w:rPr>
          <w:szCs w:val="24"/>
        </w:rPr>
      </w:pPr>
    </w:p>
    <w:p w14:paraId="4F606385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5.</w:t>
      </w:r>
    </w:p>
    <w:p w14:paraId="3FD6C12E" w14:textId="429E22CE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Plan stupa na snagu osmog dana od dana objave u Službenom glasniku, a primjenjuje se od 01.01.</w:t>
      </w:r>
      <w:r w:rsidR="00C80F85">
        <w:rPr>
          <w:sz w:val="24"/>
          <w:szCs w:val="24"/>
          <w:lang w:val="hr-HR"/>
        </w:rPr>
        <w:t>2024</w:t>
      </w:r>
      <w:r>
        <w:rPr>
          <w:sz w:val="24"/>
          <w:szCs w:val="24"/>
          <w:lang w:val="hr-HR"/>
        </w:rPr>
        <w:t>.</w:t>
      </w:r>
    </w:p>
    <w:p w14:paraId="2CBDCFB6" w14:textId="632B020D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Ovaj Plan ima se dostaviti Središnjem državnom uredu za obnovu i stambeno zbrinjavanje do kraja siječnja </w:t>
      </w:r>
      <w:r w:rsidR="00C80F85">
        <w:rPr>
          <w:sz w:val="24"/>
          <w:szCs w:val="24"/>
          <w:lang w:val="hr-HR"/>
        </w:rPr>
        <w:t>2024</w:t>
      </w:r>
      <w:r w:rsidR="00E017F4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radi davanja suglasnosti.</w:t>
      </w:r>
    </w:p>
    <w:bookmarkEnd w:id="0"/>
    <w:p w14:paraId="08D65655" w14:textId="77777777" w:rsidR="00377D4A" w:rsidRDefault="00377D4A">
      <w:pPr>
        <w:pStyle w:val="Tijeloteksta"/>
        <w:rPr>
          <w:szCs w:val="24"/>
        </w:rPr>
      </w:pPr>
    </w:p>
    <w:p w14:paraId="21BAACDC" w14:textId="3F3B3963" w:rsidR="00377D4A" w:rsidRDefault="002A04BC">
      <w:pPr>
        <w:pStyle w:val="Tijeloteksta"/>
      </w:pPr>
      <w:r>
        <w:t>KLASA:</w:t>
      </w:r>
    </w:p>
    <w:p w14:paraId="11862D52" w14:textId="7489F2DC" w:rsidR="00377D4A" w:rsidRDefault="00E017F4">
      <w:pPr>
        <w:pStyle w:val="Tijeloteksta"/>
      </w:pPr>
      <w:r>
        <w:t>URBROJ:21</w:t>
      </w:r>
      <w:r w:rsidR="00D61F10">
        <w:t>58-23-03/1-2</w:t>
      </w:r>
      <w:r w:rsidR="00C80F85">
        <w:t>3</w:t>
      </w:r>
      <w:r w:rsidR="00D61F10">
        <w:t>-</w:t>
      </w:r>
      <w:r w:rsidR="00F51408">
        <w:t>02</w:t>
      </w:r>
    </w:p>
    <w:p w14:paraId="63855B82" w14:textId="6B36DEC0" w:rsidR="00377D4A" w:rsidRDefault="002A04BC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</w:p>
    <w:p w14:paraId="0E147753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017F4">
        <w:t>K</w:t>
      </w:r>
    </w:p>
    <w:p w14:paraId="4232709C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2416F920" w14:textId="77777777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4F0E" w:rsidRPr="004C4F0E">
        <w:rPr>
          <w:szCs w:val="24"/>
        </w:rPr>
        <w:t xml:space="preserve">Petar </w:t>
      </w:r>
      <w:proofErr w:type="spellStart"/>
      <w:r w:rsidR="004C4F0E" w:rsidRPr="004C4F0E">
        <w:rPr>
          <w:szCs w:val="24"/>
        </w:rPr>
        <w:t>Šmrčković</w:t>
      </w:r>
      <w:proofErr w:type="spellEnd"/>
      <w:r w:rsidR="004C4F0E" w:rsidRPr="004C4F0E">
        <w:rPr>
          <w:szCs w:val="24"/>
        </w:rPr>
        <w:t xml:space="preserve">, </w:t>
      </w:r>
      <w:proofErr w:type="spellStart"/>
      <w:r w:rsidR="004C4F0E" w:rsidRPr="004C4F0E">
        <w:rPr>
          <w:szCs w:val="24"/>
        </w:rPr>
        <w:t>dipl.ing.stroj</w:t>
      </w:r>
      <w:proofErr w:type="spellEnd"/>
      <w:r w:rsidR="004C4F0E" w:rsidRPr="004C4F0E">
        <w:rPr>
          <w:szCs w:val="24"/>
        </w:rPr>
        <w:t>.</w:t>
      </w:r>
    </w:p>
    <w:p w14:paraId="205FFC0C" w14:textId="77777777" w:rsidR="00377D4A" w:rsidRDefault="00377D4A">
      <w:pPr>
        <w:pStyle w:val="Tijeloteksta"/>
        <w:rPr>
          <w:szCs w:val="24"/>
        </w:rPr>
      </w:pPr>
    </w:p>
    <w:sectPr w:rsidR="00377D4A">
      <w:footerReference w:type="default" r:id="rId6"/>
      <w:pgSz w:w="11906" w:h="16838"/>
      <w:pgMar w:top="993" w:right="1133" w:bottom="993" w:left="1276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5349" w14:textId="77777777" w:rsidR="00A42E0E" w:rsidRDefault="00A42E0E">
      <w:r>
        <w:separator/>
      </w:r>
    </w:p>
  </w:endnote>
  <w:endnote w:type="continuationSeparator" w:id="0">
    <w:p w14:paraId="3BDA280A" w14:textId="77777777" w:rsidR="00A42E0E" w:rsidRDefault="00A4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9FC4" w14:textId="77777777" w:rsidR="00377D4A" w:rsidRDefault="00377D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EFE2" w14:textId="77777777" w:rsidR="00A42E0E" w:rsidRDefault="00A42E0E">
      <w:r>
        <w:separator/>
      </w:r>
    </w:p>
  </w:footnote>
  <w:footnote w:type="continuationSeparator" w:id="0">
    <w:p w14:paraId="1349BD24" w14:textId="77777777" w:rsidR="00A42E0E" w:rsidRDefault="00A4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2A04BC"/>
    <w:rsid w:val="00377D4A"/>
    <w:rsid w:val="003F6DA1"/>
    <w:rsid w:val="004C4F0E"/>
    <w:rsid w:val="0065336F"/>
    <w:rsid w:val="006B7EF2"/>
    <w:rsid w:val="00763F63"/>
    <w:rsid w:val="007913DD"/>
    <w:rsid w:val="008648DF"/>
    <w:rsid w:val="008D2201"/>
    <w:rsid w:val="009407E0"/>
    <w:rsid w:val="00955EA5"/>
    <w:rsid w:val="00A42E0E"/>
    <w:rsid w:val="00AF58A7"/>
    <w:rsid w:val="00C80F85"/>
    <w:rsid w:val="00C94764"/>
    <w:rsid w:val="00CD5424"/>
    <w:rsid w:val="00D61F10"/>
    <w:rsid w:val="00E017F4"/>
    <w:rsid w:val="00E5514F"/>
    <w:rsid w:val="00ED5745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4CA"/>
  <w15:docId w15:val="{F108A6D2-34C7-4FAB-92EE-72D98D3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0C20F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sid w:val="00A37C5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2022-12-16T14:17:00Z</cp:lastPrinted>
  <dcterms:created xsi:type="dcterms:W3CDTF">2023-11-21T13:54:00Z</dcterms:created>
  <dcterms:modified xsi:type="dcterms:W3CDTF">2023-12-20T13:46:00Z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