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ddc248af4491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35999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KNEŽEVI VINOGRADI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1.768.314,56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1.867.226,83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1.567.556,11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1.596.962,35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200.758,45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270.264,48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67.998,36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39.819,86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313.708,98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600.395,15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245.710,62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560.575,29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106.112,74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106.112,74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106.112,74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106.112,74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151.064,91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396.423,55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262,4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1. Manjak prihoda od nefinancijske imovine - Šifra (Y002) - do manjka prihoda od nefinancijske imovine je došlo zbog  završetka izgradnje biciklističke staze od Kneževih Vinograda do Kamenca, te izvođenja energetske obnove i adaptacije prostorija zgrade sportskog parka   u Karancu i rekonstrukcije i dogradnje SRC Bazeni u Kneževim Vinogradima.</w:t>
      </w:r>
    </w:p>
    <w:p>
      <w:pPr>
        <w:jc w:val="both"/>
      </w:pPr>
      <w:r>
        <w:t xml:space="preserve"> 2. Manjak prihoda od financijske imovine - Šifra (Y003) - do manjka prihoda od financijske imovine je došlo zbog otplate glavnice po dugoročnim kreditima od:    </w:t>
      </w:r>
    </w:p>
    <w:p>
      <w:pPr>
        <w:jc w:val="both"/>
      </w:pPr>
      <w:r>
        <w:t xml:space="preserve"> - HBOR-a  za ulaganje u  SRC bazeni Kneževi Vinogradi (tobogan + sanacija školjke),</w:t>
      </w:r>
    </w:p>
    <w:p>
      <w:pPr>
        <w:jc w:val="both"/>
      </w:pPr>
      <w:r>
        <w:t xml:space="preserve">- PBZ-a d.d. za radove na rekonstrukciji ceste u ulici Hrvatske Republike i izgradnji ceste u ulici Antuna Plaveca u Kn. Vinogradima i za rekonstrukciju ulice Nikole Tesle u Karancu,  </w:t>
      </w:r>
    </w:p>
    <w:p>
      <w:pPr>
        <w:jc w:val="both"/>
      </w:pPr>
      <w:r>
        <w:t xml:space="preserve">- OTP-a d.d. za izgradnju zgrade javne namjene - upravne zgrade Općine.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1026,8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do povećanja u odnosu na prošlu godinu je došlo zbog primljenih sredstava od Ministarstva turizma i sporta po projektu "Rekonstrukcija i opremanje nogometnog igrališta u Kneževim Vinogradima" (UG 73/2026).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77.868,61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do povećanja u odnosu na prošlu godinu je došlo zbog odobrenih ZNS-ova za energetsku obnovu i adaptaciju prostorija Sportskog parka ŠNK Polet u Karancu (UG 79/2025).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737.095,80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u 2025. godini primili smo premiju za osiguranje od požara za SRC Bazeni Kneževi Vinogradi (datum događaja 20.9.2024. godine).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49.754,61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do povećanja je došlo zbog financiranja Rekonstrukcije i uređenje Doma mladih u Suzi od strane DZMH.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21.195,05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3.834,52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18,1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u 2025. godini provodili smo projekt FZOEU  (Eko Vin "Zajedno za čistiju Općinu").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11.608,26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3.098,00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26,7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u 2025. godini isplatili smo naknade za rad biračkih odbora na lokalnim izborima.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40.039,61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u 2025. godini  isplatili smo glavnicu i kamate po presudi VTS-a.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9.643,66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došlo je do promjene u načinu knjiženja, te je stavka knjižena na drugi konto.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18.061,54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došlo je do promjene u načinu knjiženja, te je stavka ove godine knjižena na ovaj konto.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135.951,03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506.339,27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372,4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do povećanja u odnosu na prošlu godinu je došlo zbog rekonstrukcije i dogradnje SRC Bazeni u Kneževim Vinogradima.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70.845,55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40.122,50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56,6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u 2025. godini završena je izgradnja Interpretacijskog etno-centra Karanac, te je isti i opremljen.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38.227,48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Dospjele obveze na kraju izvještajnog razdoblja nisu zatvorene iz razloga što na dan 30.6.2026. nismo zaprimili potpisanu i ovjerenu kompenzaciju kojom bi se predmetna obveza zatvorila.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pPr>
        <w:jc w:val="both"/>
      </w:pPr>
      <w:r>
        <w:t xml:space="preserve">EU izvještaj se odnosi na:</w:t>
      </w:r>
    </w:p>
    <w:p>
      <w:pPr>
        <w:jc w:val="both"/>
      </w:pPr>
      <w:r>
        <w:t xml:space="preserve">- energetsku obnovu i adaptaciju prostorija Sportskog parka ŠNK Polet u Karancu (UG 79/2025),</w:t>
      </w:r>
    </w:p>
    <w:p>
      <w:pPr>
        <w:jc w:val="both"/>
      </w:pPr>
      <w:r>
        <w:t xml:space="preserve">-projekat "Danube Ruralscapes",</w:t>
      </w:r>
    </w:p>
    <w:p>
      <w:pPr>
        <w:jc w:val="both"/>
      </w:pPr>
      <w:r>
        <w:t xml:space="preserve">-predujam po projektu "Wine Heritage" HR-RS (UG 22/2026).</w:t>
      </w:r>
    </w:p>
    <w:p>
      <w:r>
        <w:t xml:space="preserve"> 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6a904253c04670" /><Relationship Type="http://schemas.openxmlformats.org/officeDocument/2006/relationships/numbering" Target="/word/numbering.xml" Id="Rabcc6b72f81a482a" /></Relationships>
</file>