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+*yqw*mwB*uzj*Fys*ugc*xDg*snE*wto*sht*xCc*zew*-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+*eDs*ufy*lyd*lyd*lyd*ozo*vub*Axa*Dmg*Dcw*zfE*-</w:t>
            </w:r>
            <w:r>
              <w:rPr>
                <w:rFonts w:ascii="PDF417x" w:hAnsi="PDF417x"/>
                <w:sz w:val="24"/>
                <w:szCs w:val="24"/>
              </w:rPr>
              <w:br/>
              <w:t>+*ftw*xwm*Fsi*Exs*oCa*BEE*aji*rrE*nBc*hvA*onA*-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+*ftA*wri*xAm*tis*dwE*lro*nru*knv*mja*Fzb*uws*-</w:t>
            </w:r>
            <w:r>
              <w:rPr>
                <w:rFonts w:ascii="PDF417x" w:hAnsi="PDF417x"/>
                <w:sz w:val="24"/>
                <w:szCs w:val="24"/>
              </w:rPr>
              <w:br/>
              <w:t>+*xjq*eBw*ncy*lfw*kzd*xbo*bna*Dtn*zdo*gEw*uzq*-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363-01/26-03/03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2158-23-01/01-26-2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30.03.2026.</w:t>
      </w: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701EB827" w14:textId="77777777" w:rsidR="00C35FC7" w:rsidRPr="00912386" w:rsidRDefault="00C35FC7" w:rsidP="00C35FC7">
      <w:pPr>
        <w:pStyle w:val="Tijeloteksta"/>
        <w:ind w:firstLine="720"/>
        <w:rPr>
          <w:sz w:val="22"/>
          <w:szCs w:val="22"/>
        </w:rPr>
      </w:pPr>
      <w:r w:rsidRPr="00912386">
        <w:rPr>
          <w:sz w:val="22"/>
          <w:szCs w:val="22"/>
        </w:rPr>
        <w:t>Temeljem članka 67. st. 1 Zakona o komunalnom  gospodarstvu (Narodne novine 68/18, 110/18, 32/20), te članka 32. Statuta Općine Kneževi Vinogradi (Službeni glasnik 3/13, 3/18, 3/20, 1/21, 4/21, 22/23</w:t>
      </w:r>
      <w:r>
        <w:rPr>
          <w:sz w:val="22"/>
          <w:szCs w:val="22"/>
        </w:rPr>
        <w:t>, 7/25, 11/25</w:t>
      </w:r>
      <w:r w:rsidRPr="00912386">
        <w:rPr>
          <w:sz w:val="22"/>
          <w:szCs w:val="22"/>
        </w:rPr>
        <w:t>), Izvješća o stanju u prostoru Općine Kneževi Vinogradi (Službeni glasnik 12/2019),Općinsko vijeće na svojoj</w:t>
      </w:r>
      <w:r>
        <w:rPr>
          <w:sz w:val="22"/>
          <w:szCs w:val="22"/>
        </w:rPr>
        <w:t xml:space="preserve"> 8. </w:t>
      </w:r>
      <w:r w:rsidRPr="00912386">
        <w:rPr>
          <w:sz w:val="22"/>
          <w:szCs w:val="22"/>
        </w:rPr>
        <w:t xml:space="preserve">sjednici održanoj </w:t>
      </w:r>
      <w:r>
        <w:rPr>
          <w:sz w:val="22"/>
          <w:szCs w:val="22"/>
        </w:rPr>
        <w:t xml:space="preserve">30.03.2025 </w:t>
      </w:r>
      <w:r w:rsidRPr="00912386">
        <w:rPr>
          <w:sz w:val="22"/>
          <w:szCs w:val="22"/>
        </w:rPr>
        <w:t>godine, donijelo je</w:t>
      </w:r>
    </w:p>
    <w:p w14:paraId="658B9E3C" w14:textId="77777777" w:rsidR="00C35FC7" w:rsidRPr="00912386" w:rsidRDefault="00C35FC7" w:rsidP="00C35FC7">
      <w:pPr>
        <w:pStyle w:val="Tijeloteksta2"/>
        <w:rPr>
          <w:sz w:val="22"/>
          <w:szCs w:val="22"/>
        </w:rPr>
      </w:pPr>
    </w:p>
    <w:p w14:paraId="38425D8E" w14:textId="77777777" w:rsidR="00C35FC7" w:rsidRDefault="00C35FC7" w:rsidP="00C35FC7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 xml:space="preserve"> PROGRAMA </w:t>
      </w:r>
    </w:p>
    <w:p w14:paraId="650BF0CB" w14:textId="77777777" w:rsidR="00C35FC7" w:rsidRPr="00912386" w:rsidRDefault="00C35FC7" w:rsidP="00C35FC7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O IZMJENI I DOPUNI PROGRAMA</w:t>
      </w:r>
    </w:p>
    <w:p w14:paraId="16217E48" w14:textId="77777777" w:rsidR="00C35FC7" w:rsidRPr="00912386" w:rsidRDefault="00C35FC7" w:rsidP="00C35FC7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 xml:space="preserve">GRAĐENJA  KOMUNALNE INFRASTRUKTURE </w:t>
      </w:r>
    </w:p>
    <w:p w14:paraId="1DF63E2A" w14:textId="77777777" w:rsidR="00C35FC7" w:rsidRPr="00912386" w:rsidRDefault="00C35FC7" w:rsidP="00C35FC7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 xml:space="preserve">NA PODRUČJU OPĆINE KNEŽEVI VINOGRADI ZA </w:t>
      </w:r>
      <w:r>
        <w:rPr>
          <w:sz w:val="22"/>
          <w:szCs w:val="22"/>
        </w:rPr>
        <w:t>2026</w:t>
      </w:r>
      <w:r w:rsidRPr="00912386">
        <w:rPr>
          <w:sz w:val="22"/>
          <w:szCs w:val="22"/>
        </w:rPr>
        <w:t>.GODINU</w:t>
      </w:r>
    </w:p>
    <w:p w14:paraId="0ABB98F8" w14:textId="77777777" w:rsidR="00C35FC7" w:rsidRPr="00912386" w:rsidRDefault="00C35FC7" w:rsidP="00C35FC7">
      <w:pPr>
        <w:pStyle w:val="Tijeloteksta2"/>
        <w:jc w:val="both"/>
        <w:rPr>
          <w:sz w:val="22"/>
          <w:szCs w:val="22"/>
        </w:rPr>
      </w:pPr>
    </w:p>
    <w:p w14:paraId="59E80F0D" w14:textId="77777777" w:rsidR="00C35FC7" w:rsidRPr="00912386" w:rsidRDefault="00C35FC7" w:rsidP="00C35FC7">
      <w:pPr>
        <w:pStyle w:val="Tijeloteksta2"/>
        <w:rPr>
          <w:sz w:val="22"/>
          <w:szCs w:val="22"/>
        </w:rPr>
      </w:pPr>
    </w:p>
    <w:p w14:paraId="36963EF7" w14:textId="77777777" w:rsidR="00C35FC7" w:rsidRPr="00912386" w:rsidRDefault="00C35FC7" w:rsidP="00C35FC7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>Članak 1.</w:t>
      </w:r>
    </w:p>
    <w:p w14:paraId="3CFA4A05" w14:textId="77777777" w:rsidR="00C35FC7" w:rsidRPr="00912386" w:rsidRDefault="00C35FC7" w:rsidP="00C35FC7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           </w:t>
      </w:r>
      <w:r w:rsidRPr="00912386">
        <w:rPr>
          <w:b w:val="0"/>
          <w:sz w:val="22"/>
          <w:szCs w:val="22"/>
        </w:rPr>
        <w:tab/>
        <w:t xml:space="preserve">Ovim Programom </w:t>
      </w:r>
      <w:r>
        <w:rPr>
          <w:b w:val="0"/>
          <w:sz w:val="22"/>
          <w:szCs w:val="22"/>
        </w:rPr>
        <w:t>mijenja se i dopunjuje Program građenja komunalni infrastrukture na području Općine Kneževi Vinogradi za 2026.godinu (Službeni glasnik 18/25).</w:t>
      </w:r>
    </w:p>
    <w:p w14:paraId="68F675CF" w14:textId="77777777" w:rsidR="00C35FC7" w:rsidRPr="00912386" w:rsidRDefault="00C35FC7" w:rsidP="00C35FC7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 xml:space="preserve">           </w:t>
      </w:r>
    </w:p>
    <w:p w14:paraId="521277CA" w14:textId="77777777" w:rsidR="00C35FC7" w:rsidRPr="00912386" w:rsidRDefault="00C35FC7" w:rsidP="00C35FC7">
      <w:pPr>
        <w:pStyle w:val="Tijeloteksta2"/>
        <w:rPr>
          <w:sz w:val="22"/>
          <w:szCs w:val="22"/>
        </w:rPr>
      </w:pPr>
      <w:r w:rsidRPr="00912386">
        <w:rPr>
          <w:sz w:val="22"/>
          <w:szCs w:val="22"/>
        </w:rPr>
        <w:t>Članak 2.</w:t>
      </w:r>
    </w:p>
    <w:p w14:paraId="298A684F" w14:textId="77777777" w:rsidR="00C35FC7" w:rsidRPr="007B4526" w:rsidRDefault="00C35FC7" w:rsidP="00C35FC7">
      <w:pPr>
        <w:pStyle w:val="Tijeloteksta2"/>
        <w:jc w:val="both"/>
        <w:rPr>
          <w:b w:val="0"/>
          <w:sz w:val="22"/>
          <w:szCs w:val="22"/>
        </w:rPr>
      </w:pPr>
      <w:r w:rsidRPr="007B4526">
        <w:rPr>
          <w:b w:val="0"/>
          <w:sz w:val="22"/>
          <w:szCs w:val="22"/>
        </w:rPr>
        <w:tab/>
        <w:t>U članku 5. mijenja se tablica I. OPIS POSLOVA S PROCJENOM TROŠKOVA PROJEKTIRANJA, REVIZIJE, GRAĐENJA, PROVEDBE STRUČNOG NADZORA GRAĐENJA I PROVEDBE VOĐENJA PROJEKTA GRAĐENJA KOMUNALNE INFRASTRUKTURE U  2026. GODINI:</w:t>
      </w:r>
    </w:p>
    <w:p w14:paraId="3DD07611" w14:textId="77777777" w:rsidR="00C35FC7" w:rsidRPr="007B4526" w:rsidRDefault="00C35FC7" w:rsidP="00C35FC7">
      <w:pPr>
        <w:pStyle w:val="Tijeloteksta2"/>
        <w:ind w:left="1080"/>
        <w:jc w:val="both"/>
        <w:rPr>
          <w:b w:val="0"/>
          <w:sz w:val="22"/>
          <w:szCs w:val="22"/>
        </w:rPr>
      </w:pPr>
    </w:p>
    <w:p w14:paraId="014E3C14" w14:textId="77777777" w:rsidR="00C35FC7" w:rsidRPr="007B4526" w:rsidRDefault="00C35FC7" w:rsidP="00C35FC7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990"/>
        <w:gridCol w:w="4620"/>
        <w:gridCol w:w="1686"/>
        <w:gridCol w:w="222"/>
        <w:gridCol w:w="702"/>
      </w:tblGrid>
      <w:tr w:rsidR="00C35FC7" w:rsidRPr="00912386" w14:paraId="543780F6" w14:textId="77777777" w:rsidTr="008B5C45">
        <w:trPr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31636CD6" w14:textId="77777777" w:rsidR="00C35FC7" w:rsidRPr="00912386" w:rsidRDefault="00C35FC7" w:rsidP="008B5C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Red.br.</w:t>
            </w:r>
          </w:p>
        </w:tc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4E530F9B" w14:textId="77777777" w:rsidR="00C35FC7" w:rsidRPr="00912386" w:rsidRDefault="00C35FC7" w:rsidP="008B5C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Opis programa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638A85AF" w14:textId="77777777" w:rsidR="00C35FC7" w:rsidRPr="00912386" w:rsidRDefault="00C35FC7" w:rsidP="008B5C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Iznos</w:t>
            </w:r>
          </w:p>
        </w:tc>
      </w:tr>
      <w:tr w:rsidR="00C35FC7" w:rsidRPr="00912386" w14:paraId="76563E71" w14:textId="77777777" w:rsidTr="008B5C45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5B36E7" w14:textId="77777777" w:rsidR="00C35FC7" w:rsidRPr="00912386" w:rsidRDefault="00C35FC7" w:rsidP="008B5C45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912386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C35FC7" w:rsidRPr="00912386" w14:paraId="2CA4FBBE" w14:textId="77777777" w:rsidTr="008B5C45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5F13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3A9A36A4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color w:val="000000"/>
              </w:rPr>
              <w:t>GRAĐEVINE I UREĐAJI JAVNE NAMJENE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2F0A25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912386">
              <w:rPr>
                <w:rFonts w:ascii="Times New Roman" w:hAnsi="Times New Roman" w:cs="Times New Roman"/>
                <w:b/>
                <w:color w:val="000000"/>
              </w:rPr>
              <w:t>.000,00</w:t>
            </w:r>
          </w:p>
        </w:tc>
      </w:tr>
      <w:tr w:rsidR="00C35FC7" w:rsidRPr="00912386" w14:paraId="493BA9A7" w14:textId="77777777" w:rsidTr="008B5C45">
        <w:trPr>
          <w:trHeight w:val="707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7ABE" w14:textId="77777777" w:rsidR="00C35FC7" w:rsidRPr="00912386" w:rsidRDefault="00C35FC7" w:rsidP="008B5C45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3A23B93E" w14:textId="77777777" w:rsidR="00C35FC7" w:rsidRPr="00912386" w:rsidRDefault="00C35FC7" w:rsidP="008B5C45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Postavljanje komunalne opreme - obuhvaća dobavu i postavljanje opreme (kante, klupe, stajališta, oglasne ploče, video nadzor) u svim mjestima Općine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60C9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912386"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  <w:tr w:rsidR="00C35FC7" w:rsidRPr="00912386" w14:paraId="33457BF6" w14:textId="77777777" w:rsidTr="008B5C45">
        <w:trPr>
          <w:trHeight w:val="33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5312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3BC7A67E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Komunalni doprinos</w:t>
            </w:r>
          </w:p>
          <w:p w14:paraId="754AF827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Šumski doprinos</w:t>
            </w:r>
          </w:p>
          <w:p w14:paraId="581EDBD7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2E4A1B2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912386">
              <w:rPr>
                <w:rFonts w:ascii="Times New Roman" w:hAnsi="Times New Roman" w:cs="Times New Roman"/>
                <w:color w:val="000000"/>
              </w:rPr>
              <w:t>.000,00</w:t>
            </w:r>
          </w:p>
          <w:p w14:paraId="081BF44C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2.000,00</w:t>
            </w:r>
          </w:p>
          <w:p w14:paraId="3377B7CA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2" w:type="dxa"/>
          </w:tcPr>
          <w:p w14:paraId="12D2925C" w14:textId="77777777" w:rsidR="00C35FC7" w:rsidRPr="00912386" w:rsidRDefault="00C35FC7" w:rsidP="008B5C45">
            <w:pPr>
              <w:rPr>
                <w:rFonts w:ascii="Times New Roman" w:hAnsi="Times New Roman" w:cs="Times New Roman"/>
              </w:rPr>
            </w:pPr>
          </w:p>
        </w:tc>
      </w:tr>
      <w:tr w:rsidR="00C35FC7" w:rsidRPr="00912386" w14:paraId="0D63269A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A1D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2B74E16D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MODERNIZACIJA JAVNE RASVJETE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8D07D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00,00</w:t>
            </w:r>
          </w:p>
        </w:tc>
      </w:tr>
      <w:tr w:rsidR="00C35FC7" w:rsidRPr="00912386" w14:paraId="31919C97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798" w14:textId="77777777" w:rsidR="00C35FC7" w:rsidRPr="00912386" w:rsidRDefault="00C35FC7" w:rsidP="008B5C45">
            <w:pPr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Hlk151489636"/>
            <w:r w:rsidRPr="00912386">
              <w:rPr>
                <w:rFonts w:ascii="Times New Roman" w:hAnsi="Times New Roman" w:cs="Times New Roman"/>
                <w:bCs/>
                <w:color w:val="000000"/>
              </w:rPr>
              <w:t>2.1.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56E07E28" w14:textId="77777777" w:rsidR="00C35FC7" w:rsidRPr="00912386" w:rsidRDefault="00C35FC7" w:rsidP="008B5C4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 xml:space="preserve">Postavljanje novih rasvjetnih tijela prema potrebi 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54997F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11.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</w:tc>
      </w:tr>
      <w:bookmarkEnd w:id="1"/>
      <w:tr w:rsidR="00C35FC7" w:rsidRPr="00912386" w14:paraId="016ACD6A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25A5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0A7E0E26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Prihod od prodaje stanova</w:t>
            </w:r>
          </w:p>
          <w:p w14:paraId="20F18E2A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 xml:space="preserve">Komunalna naknada 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6DE7AA3C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  <w:p w14:paraId="6B7ABCDA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Cs/>
                <w:color w:val="000000"/>
              </w:rPr>
              <w:t>10.000,00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EABD72D" w14:textId="77777777" w:rsidR="00C35FC7" w:rsidRPr="00912386" w:rsidRDefault="00C35FC7" w:rsidP="008B5C45">
            <w:pPr>
              <w:rPr>
                <w:rFonts w:ascii="Times New Roman" w:hAnsi="Times New Roman" w:cs="Times New Roman"/>
              </w:rPr>
            </w:pPr>
          </w:p>
        </w:tc>
      </w:tr>
      <w:tr w:rsidR="00C35FC7" w:rsidRPr="001A1C59" w14:paraId="462CE7FD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1CD8" w14:textId="77777777" w:rsidR="00C35FC7" w:rsidRPr="001A1C59" w:rsidRDefault="00C35FC7" w:rsidP="008B5C4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A1C59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auto"/>
            </w:tcBorders>
          </w:tcPr>
          <w:p w14:paraId="1DFA734C" w14:textId="77777777" w:rsidR="00C35FC7" w:rsidRPr="001A1C59" w:rsidRDefault="00C35FC7" w:rsidP="008B5C4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A1C59">
              <w:rPr>
                <w:rFonts w:ascii="Times New Roman" w:hAnsi="Times New Roman" w:cs="Times New Roman"/>
                <w:b/>
                <w:color w:val="000000"/>
              </w:rPr>
              <w:t>IZGRADNJA JAVNE RASVJETE U KATOLIČKOM SURDUKU u sklopu projekta WINE HERITAGE (INTERREG VI-A-IPA HR-RS)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EE1F" w14:textId="77777777" w:rsidR="00C35FC7" w:rsidRPr="001A1C59" w:rsidRDefault="00C35FC7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167.500,00</w:t>
            </w:r>
          </w:p>
        </w:tc>
      </w:tr>
      <w:tr w:rsidR="00C35FC7" w:rsidRPr="00912386" w14:paraId="19F2A55A" w14:textId="77777777" w:rsidTr="008B5C45">
        <w:trPr>
          <w:gridAfter w:val="1"/>
          <w:wAfter w:w="7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EC0" w14:textId="77777777" w:rsidR="00C35FC7" w:rsidRPr="00912386" w:rsidRDefault="00C35FC7" w:rsidP="008B5C4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1E58CD6D" w14:textId="77777777" w:rsidR="00C35FC7" w:rsidRPr="00912386" w:rsidRDefault="00C35FC7" w:rsidP="008B5C4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Izgradnja javne rasvjete na nerazvrstanoj cesti Katolički surduk s lijeve i desne strane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4FCD81A0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167.500,00</w:t>
            </w:r>
          </w:p>
        </w:tc>
      </w:tr>
      <w:tr w:rsidR="00C35FC7" w:rsidRPr="00912386" w14:paraId="11581252" w14:textId="77777777" w:rsidTr="008B5C45">
        <w:trPr>
          <w:gridAfter w:val="1"/>
          <w:wAfter w:w="7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3974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78AEBCC0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Komunalna naknada</w:t>
            </w:r>
          </w:p>
          <w:p w14:paraId="628C18FE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Europski fond za regionalni razvoj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33A7C33B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25.125,00</w:t>
            </w:r>
          </w:p>
          <w:p w14:paraId="45F98B0C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142.375,00</w:t>
            </w:r>
          </w:p>
        </w:tc>
      </w:tr>
      <w:tr w:rsidR="00C35FC7" w:rsidRPr="00A200ED" w14:paraId="41D11138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7C9" w14:textId="77777777" w:rsidR="00C35FC7" w:rsidRPr="00A200ED" w:rsidRDefault="00C35FC7" w:rsidP="008B5C4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00ED">
              <w:rPr>
                <w:rFonts w:ascii="Times New Roman" w:hAnsi="Times New Roman"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auto"/>
            </w:tcBorders>
          </w:tcPr>
          <w:p w14:paraId="3A3D2C78" w14:textId="77777777" w:rsidR="00C35FC7" w:rsidRPr="00A200ED" w:rsidRDefault="00C35FC7" w:rsidP="008B5C4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200ED">
              <w:rPr>
                <w:rFonts w:ascii="Times New Roman" w:hAnsi="Times New Roman" w:cs="Times New Roman"/>
                <w:b/>
                <w:color w:val="000000"/>
              </w:rPr>
              <w:t>SANACIJA KLIZIŠTA NA NERAZVRSTANIM CESTAMA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A93" w14:textId="77777777" w:rsidR="00C35FC7" w:rsidRPr="00A200ED" w:rsidRDefault="00C35FC7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130.549,00</w:t>
            </w:r>
          </w:p>
        </w:tc>
      </w:tr>
      <w:tr w:rsidR="00C35FC7" w:rsidRPr="00912386" w14:paraId="1E8C3F5B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6B1" w14:textId="77777777" w:rsidR="00C35FC7" w:rsidRPr="00912386" w:rsidRDefault="00C35FC7" w:rsidP="008B5C4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4E064381" w14:textId="77777777" w:rsidR="00C35FC7" w:rsidRPr="00912386" w:rsidRDefault="00C35FC7" w:rsidP="008B5C45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Sanacija klizišta u Zmajevcu, ul Šandora Petefija gornji krak s lijeve strane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61589656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130.549,00</w:t>
            </w:r>
          </w:p>
        </w:tc>
      </w:tr>
      <w:tr w:rsidR="00C35FC7" w:rsidRPr="00912386" w14:paraId="7811CF2E" w14:textId="77777777" w:rsidTr="008B5C45">
        <w:trPr>
          <w:gridAfter w:val="1"/>
          <w:wAfter w:w="7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3EEF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64E60521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Komunalni doprinos</w:t>
            </w:r>
          </w:p>
          <w:p w14:paraId="675FA691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Prihod od zakupa polj.zemljišta</w:t>
            </w:r>
          </w:p>
          <w:p w14:paraId="5B85F1E0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Kapitalna pomoć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3C9CF91D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5.000,00</w:t>
            </w:r>
          </w:p>
          <w:p w14:paraId="6D0DA619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30.000,00</w:t>
            </w:r>
          </w:p>
          <w:p w14:paraId="3FAA01BF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95.549,00</w:t>
            </w:r>
          </w:p>
        </w:tc>
      </w:tr>
      <w:tr w:rsidR="00C35FC7" w:rsidRPr="007B4526" w14:paraId="3946755D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0CE6" w14:textId="77777777" w:rsidR="00C35FC7" w:rsidRPr="007B4526" w:rsidRDefault="00C35FC7" w:rsidP="008B5C4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B4526">
              <w:rPr>
                <w:rFonts w:ascii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auto"/>
            </w:tcBorders>
          </w:tcPr>
          <w:p w14:paraId="4069B0B1" w14:textId="77777777" w:rsidR="00C35FC7" w:rsidRPr="007B4526" w:rsidRDefault="00C35FC7" w:rsidP="008B5C4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B4526">
              <w:rPr>
                <w:rFonts w:ascii="Times New Roman" w:hAnsi="Times New Roman" w:cs="Times New Roman"/>
                <w:b/>
                <w:color w:val="000000"/>
              </w:rPr>
              <w:t>IZGRADNJA MOSTA U KOTLINI , PROLAZ ZIMA (projekt iz 2025.g)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47AD" w14:textId="77777777" w:rsidR="00C35FC7" w:rsidRPr="007B4526" w:rsidRDefault="00C35FC7" w:rsidP="008B5C4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20.500,00</w:t>
            </w:r>
          </w:p>
        </w:tc>
      </w:tr>
      <w:tr w:rsidR="00C35FC7" w:rsidRPr="00912386" w14:paraId="0C110DE9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4F7E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36238564" w14:textId="77777777" w:rsidR="00C35FC7" w:rsidRDefault="00C35FC7" w:rsidP="008B5C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Radov na završetku mosta u ulici Prolaz Zima iz 2025.godine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0BC12765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20.500,00</w:t>
            </w:r>
          </w:p>
        </w:tc>
      </w:tr>
      <w:tr w:rsidR="00C35FC7" w:rsidRPr="00912386" w14:paraId="7B5D9487" w14:textId="77777777" w:rsidTr="008B5C45">
        <w:trPr>
          <w:gridAfter w:val="1"/>
          <w:wAfter w:w="702" w:type="dxa"/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4A50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4DE2880C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Prihod od zakupa polj.zemljišta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068A1BEA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20.500,00</w:t>
            </w:r>
          </w:p>
        </w:tc>
      </w:tr>
      <w:tr w:rsidR="00C35FC7" w:rsidRPr="00912386" w14:paraId="458DAFB4" w14:textId="77777777" w:rsidTr="008B5C45">
        <w:trPr>
          <w:trHeight w:val="315"/>
          <w:jc w:val="center"/>
        </w:trPr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180BE8" w14:textId="77777777" w:rsidR="00C35FC7" w:rsidRPr="00912386" w:rsidRDefault="00C35FC7" w:rsidP="008B5C45">
            <w:pPr>
              <w:pStyle w:val="Tijeloteksta2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12386">
              <w:rPr>
                <w:sz w:val="22"/>
                <w:szCs w:val="22"/>
              </w:rPr>
              <w:t>GRAĐEVINE KOMUNALNE INFRASTRUKTURE KOJE ĆE SE GRADITI IZVAN GRAĐEVINSKOG PODRUČJA</w:t>
            </w:r>
          </w:p>
        </w:tc>
      </w:tr>
      <w:tr w:rsidR="00C35FC7" w:rsidRPr="00912386" w14:paraId="6A59B184" w14:textId="77777777" w:rsidTr="008B5C45">
        <w:trPr>
          <w:trHeight w:val="419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5FDC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285C621A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BICIKLISTIČKA STAZA IZMEĐU KNEŽEVI VINOGRADA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KAMENCA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završetak projekta iz 2025.godine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C377D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 xml:space="preserve"> 67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00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0,00</w:t>
            </w:r>
          </w:p>
        </w:tc>
      </w:tr>
      <w:tr w:rsidR="00C35FC7" w:rsidRPr="00912386" w14:paraId="26BEAAFD" w14:textId="77777777" w:rsidTr="008B5C45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FF94" w14:textId="77777777" w:rsidR="00C35FC7" w:rsidRPr="00912386" w:rsidRDefault="00C35FC7" w:rsidP="008B5C45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17889674" w14:textId="77777777" w:rsidR="00C35FC7" w:rsidRPr="00912386" w:rsidRDefault="00C35FC7" w:rsidP="008B5C45">
            <w:pPr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Radovi na izgradnji biciklističke staze, usluga nadzora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090C4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32</w:t>
            </w:r>
            <w:r w:rsidRPr="0091238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  <w:r w:rsidRPr="0091238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35FC7" w:rsidRPr="00912386" w14:paraId="54887793" w14:textId="77777777" w:rsidTr="008B5C45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6214" w14:textId="77777777" w:rsidR="00C35FC7" w:rsidRPr="00912386" w:rsidRDefault="00C35FC7" w:rsidP="008B5C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0569A5FC" w14:textId="77777777" w:rsidR="00C35FC7" w:rsidRPr="00912386" w:rsidRDefault="00C35FC7" w:rsidP="008B5C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Izgradnja rasvjete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16CD1" w14:textId="77777777" w:rsidR="00C35FC7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35.000,00</w:t>
            </w:r>
          </w:p>
        </w:tc>
      </w:tr>
      <w:tr w:rsidR="00C35FC7" w:rsidRPr="00912386" w14:paraId="7A2C966D" w14:textId="77777777" w:rsidTr="008B5C45">
        <w:trPr>
          <w:trHeight w:val="413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2097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Izvor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</w:tcPr>
          <w:p w14:paraId="0CCF00B3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 xml:space="preserve">Prihod od prodaje </w:t>
            </w:r>
            <w:r>
              <w:rPr>
                <w:rFonts w:ascii="Times New Roman" w:hAnsi="Times New Roman" w:cs="Times New Roman"/>
                <w:color w:val="000000"/>
              </w:rPr>
              <w:t>nekretnina</w:t>
            </w:r>
          </w:p>
          <w:p w14:paraId="7C5A7D35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Komunalna naknada</w:t>
            </w:r>
          </w:p>
          <w:p w14:paraId="36826493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591ADE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  <w:r w:rsidRPr="0091238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912386">
              <w:rPr>
                <w:rFonts w:ascii="Times New Roman" w:hAnsi="Times New Roman" w:cs="Times New Roman"/>
                <w:color w:val="000000"/>
              </w:rPr>
              <w:t>00,00</w:t>
            </w:r>
          </w:p>
          <w:p w14:paraId="4C688AB8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12386">
              <w:rPr>
                <w:rFonts w:ascii="Times New Roman" w:hAnsi="Times New Roman" w:cs="Times New Roman"/>
                <w:color w:val="000000"/>
              </w:rPr>
              <w:t>25.000,00</w:t>
            </w:r>
          </w:p>
        </w:tc>
        <w:tc>
          <w:tcPr>
            <w:tcW w:w="222" w:type="dxa"/>
          </w:tcPr>
          <w:p w14:paraId="619E870A" w14:textId="77777777" w:rsidR="00C35FC7" w:rsidRPr="00912386" w:rsidRDefault="00C35FC7" w:rsidP="008B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9AF6E71" w14:textId="77777777" w:rsidR="00C35FC7" w:rsidRPr="00912386" w:rsidRDefault="00C35FC7" w:rsidP="008B5C45">
            <w:pPr>
              <w:rPr>
                <w:rFonts w:ascii="Times New Roman" w:hAnsi="Times New Roman" w:cs="Times New Roman"/>
              </w:rPr>
            </w:pPr>
          </w:p>
        </w:tc>
      </w:tr>
      <w:tr w:rsidR="00C35FC7" w:rsidRPr="00912386" w14:paraId="6F706B5C" w14:textId="77777777" w:rsidTr="008B5C45">
        <w:trPr>
          <w:trHeight w:val="315"/>
          <w:jc w:val="center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1B93C857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FABAB"/>
          </w:tcPr>
          <w:p w14:paraId="0F796516" w14:textId="77777777" w:rsidR="00C35FC7" w:rsidRPr="00912386" w:rsidRDefault="00C35FC7" w:rsidP="008B5C4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U K U P N O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AFABAB"/>
            <w:vAlign w:val="center"/>
          </w:tcPr>
          <w:p w14:paraId="3F27A84D" w14:textId="77777777" w:rsidR="00C35FC7" w:rsidRPr="00912386" w:rsidRDefault="00C35FC7" w:rsidP="008B5C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379</w:t>
            </w:r>
            <w:r w:rsidRPr="0091238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049,00</w:t>
            </w:r>
          </w:p>
        </w:tc>
      </w:tr>
    </w:tbl>
    <w:p w14:paraId="46D39D03" w14:textId="77777777" w:rsidR="00C35FC7" w:rsidRPr="00912386" w:rsidRDefault="00C35FC7" w:rsidP="00C35FC7">
      <w:pPr>
        <w:pStyle w:val="Tijeloteksta2"/>
        <w:jc w:val="both"/>
        <w:rPr>
          <w:sz w:val="22"/>
          <w:szCs w:val="22"/>
        </w:rPr>
      </w:pPr>
    </w:p>
    <w:p w14:paraId="3F3B47D8" w14:textId="77777777" w:rsidR="00C35FC7" w:rsidRDefault="00C35FC7" w:rsidP="00C35FC7">
      <w:pPr>
        <w:jc w:val="both"/>
        <w:rPr>
          <w:rFonts w:ascii="Times New Roman" w:hAnsi="Times New Roman" w:cs="Times New Roman"/>
        </w:rPr>
      </w:pPr>
    </w:p>
    <w:p w14:paraId="603FF572" w14:textId="77777777" w:rsidR="00C35FC7" w:rsidRPr="00912386" w:rsidRDefault="00C35FC7" w:rsidP="00C35FC7">
      <w:pPr>
        <w:jc w:val="center"/>
        <w:rPr>
          <w:rFonts w:ascii="Times New Roman" w:hAnsi="Times New Roman" w:cs="Times New Roman"/>
          <w:b/>
        </w:rPr>
      </w:pPr>
      <w:r w:rsidRPr="00912386">
        <w:rPr>
          <w:rFonts w:ascii="Times New Roman" w:hAnsi="Times New Roman" w:cs="Times New Roman"/>
          <w:b/>
        </w:rPr>
        <w:t xml:space="preserve">Članak </w:t>
      </w:r>
      <w:r>
        <w:rPr>
          <w:rFonts w:ascii="Times New Roman" w:hAnsi="Times New Roman" w:cs="Times New Roman"/>
          <w:b/>
        </w:rPr>
        <w:t>3</w:t>
      </w:r>
    </w:p>
    <w:p w14:paraId="10B7F74D" w14:textId="77777777" w:rsidR="00C35FC7" w:rsidRPr="00912386" w:rsidRDefault="00C35FC7" w:rsidP="00C35FC7">
      <w:pPr>
        <w:jc w:val="both"/>
        <w:rPr>
          <w:rFonts w:ascii="Times New Roman" w:hAnsi="Times New Roman" w:cs="Times New Roman"/>
        </w:rPr>
      </w:pPr>
      <w:r w:rsidRPr="00912386">
        <w:rPr>
          <w:rFonts w:ascii="Times New Roman" w:hAnsi="Times New Roman" w:cs="Times New Roman"/>
        </w:rPr>
        <w:tab/>
        <w:t>Ovaj Program stupa na snagu osmog dana od dana objave u Službenom glasniku</w:t>
      </w:r>
    </w:p>
    <w:p w14:paraId="7C96F320" w14:textId="77777777" w:rsidR="00C35FC7" w:rsidRPr="00912386" w:rsidRDefault="00C35FC7" w:rsidP="00C35FC7">
      <w:pPr>
        <w:jc w:val="both"/>
        <w:rPr>
          <w:rFonts w:ascii="Times New Roman" w:hAnsi="Times New Roman" w:cs="Times New Roman"/>
        </w:rPr>
      </w:pPr>
    </w:p>
    <w:p w14:paraId="45FA0EA2" w14:textId="77777777" w:rsidR="00C35FC7" w:rsidRPr="00912386" w:rsidRDefault="00C35FC7" w:rsidP="00C35FC7">
      <w:pPr>
        <w:jc w:val="both"/>
        <w:rPr>
          <w:rFonts w:ascii="Times New Roman" w:hAnsi="Times New Roman" w:cs="Times New Roman"/>
        </w:rPr>
      </w:pPr>
    </w:p>
    <w:p w14:paraId="25102802" w14:textId="77777777" w:rsidR="00C35FC7" w:rsidRPr="00912386" w:rsidRDefault="00C35FC7" w:rsidP="00C35FC7">
      <w:pPr>
        <w:pStyle w:val="Tijeloteksta"/>
        <w:rPr>
          <w:sz w:val="22"/>
          <w:szCs w:val="22"/>
        </w:rPr>
      </w:pPr>
    </w:p>
    <w:p w14:paraId="77DB8F51" w14:textId="77777777" w:rsidR="00C35FC7" w:rsidRPr="00912386" w:rsidRDefault="00C35FC7" w:rsidP="00C35FC7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  <w:t>PREDSJEDNI</w:t>
      </w:r>
      <w:r>
        <w:rPr>
          <w:b w:val="0"/>
          <w:sz w:val="22"/>
          <w:szCs w:val="22"/>
        </w:rPr>
        <w:t>CA</w:t>
      </w:r>
    </w:p>
    <w:p w14:paraId="3D161847" w14:textId="77777777" w:rsidR="00C35FC7" w:rsidRPr="00912386" w:rsidRDefault="00C35FC7" w:rsidP="00C35FC7">
      <w:pPr>
        <w:pStyle w:val="Tijeloteksta2"/>
        <w:jc w:val="both"/>
        <w:rPr>
          <w:b w:val="0"/>
          <w:sz w:val="22"/>
          <w:szCs w:val="22"/>
        </w:rPr>
      </w:pP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  <w:t xml:space="preserve">      OPĆINSKOG VIJEĆA</w:t>
      </w:r>
    </w:p>
    <w:p w14:paraId="13AE2D65" w14:textId="77777777" w:rsidR="00C35FC7" w:rsidRPr="00912386" w:rsidRDefault="00C35FC7" w:rsidP="00C35FC7">
      <w:pPr>
        <w:pStyle w:val="Tijeloteksta2"/>
        <w:jc w:val="both"/>
        <w:rPr>
          <w:b w:val="0"/>
        </w:rPr>
      </w:pP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 w:rsidRPr="00912386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Ružica </w:t>
      </w:r>
      <w:proofErr w:type="spellStart"/>
      <w:r>
        <w:rPr>
          <w:b w:val="0"/>
          <w:sz w:val="22"/>
          <w:szCs w:val="22"/>
        </w:rPr>
        <w:t>Batori</w:t>
      </w:r>
      <w:proofErr w:type="spellEnd"/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C35F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9433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3EC5"/>
    <w:rsid w:val="00041B62"/>
    <w:rsid w:val="00096AF8"/>
    <w:rsid w:val="00142740"/>
    <w:rsid w:val="00270203"/>
    <w:rsid w:val="00275B0C"/>
    <w:rsid w:val="002E3182"/>
    <w:rsid w:val="00347D72"/>
    <w:rsid w:val="003B613C"/>
    <w:rsid w:val="003F65C1"/>
    <w:rsid w:val="00693AB1"/>
    <w:rsid w:val="008A562A"/>
    <w:rsid w:val="008C5FE5"/>
    <w:rsid w:val="008D6A84"/>
    <w:rsid w:val="009B7A12"/>
    <w:rsid w:val="00A836D0"/>
    <w:rsid w:val="00AC35DA"/>
    <w:rsid w:val="00B92D0F"/>
    <w:rsid w:val="00C35FC7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C35FC7"/>
    <w:pPr>
      <w:suppressAutoHyphens/>
      <w:jc w:val="both"/>
    </w:pPr>
    <w:rPr>
      <w:rFonts w:ascii="Times New Roman" w:eastAsia="Times New Roman" w:hAnsi="Times New Roman" w:cs="Times New Roman"/>
      <w:noProof w:val="0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35FC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2">
    <w:name w:val="Body Text 2"/>
    <w:basedOn w:val="Normal"/>
    <w:link w:val="Tijeloteksta2Char"/>
    <w:qFormat/>
    <w:rsid w:val="00C35FC7"/>
    <w:pPr>
      <w:suppressAutoHyphens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35FC7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35FC7"/>
    <w:pPr>
      <w:suppressAutoHyphens/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3</cp:revision>
  <cp:lastPrinted>2026-03-30T14:27:00Z</cp:lastPrinted>
  <dcterms:created xsi:type="dcterms:W3CDTF">2026-03-31T11:57:00Z</dcterms:created>
  <dcterms:modified xsi:type="dcterms:W3CDTF">2026-03-31T11:58:00Z</dcterms:modified>
</cp:coreProperties>
</file>