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+*xfs*pvs*Akl*cvA*xBj*tay*CcE*sha*mhs*cFA*pBk*-</w:t>
            </w:r>
            <w:r>
              <w:rPr>
                <w:rFonts w:ascii="PDF417x" w:hAnsi="PDF417x"/>
                <w:sz w:val="24"/>
                <w:szCs w:val="24"/>
              </w:rPr>
              <w:br/>
              <w:t>+*yqw*mwB*uzj*Fys*ugc*xDg*snE*yhE*ugB*xCc*zew*-</w:t>
            </w:r>
            <w:r>
              <w:rPr>
                <w:rFonts w:ascii="PDF417x" w:hAnsi="PDF417x"/>
                <w:sz w:val="24"/>
                <w:szCs w:val="24"/>
              </w:rPr>
              <w:br/>
              <w:t>+*eDs*ors*lyd*lyd*lyd*Dmg*yCx*mzm*yrc*Byt*zfE*-</w:t>
            </w:r>
            <w:r>
              <w:rPr>
                <w:rFonts w:ascii="PDF417x" w:hAnsi="PDF417x"/>
                <w:sz w:val="24"/>
                <w:szCs w:val="24"/>
              </w:rPr>
              <w:br/>
              <w:t>+*ftw*uiz*AqD*vkl*xyu*Dig*Brg*koa*fnk*Dgc*onA*-</w:t>
            </w:r>
            <w:r>
              <w:rPr>
                <w:rFonts w:ascii="PDF417x" w:hAnsi="PDF417x"/>
                <w:sz w:val="24"/>
                <w:szCs w:val="24"/>
              </w:rPr>
              <w:br/>
              <w:t>+*ftA*zFb*ozi*xBn*tDB*nuz*uBo*vic*Fys*rrx*uws*-</w:t>
            </w:r>
            <w:r>
              <w:rPr>
                <w:rFonts w:ascii="PDF417x" w:hAnsi="PDF417x"/>
                <w:sz w:val="24"/>
                <w:szCs w:val="24"/>
              </w:rPr>
              <w:br/>
              <w:t>+*xjq*jrg*jCB*jjj*jBc*Awn*ozl*hbA*gBb*jvm*uzq*-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Pr="009941D2" w:rsidRDefault="003F65C1"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REPUBLIKA HRVATSKA</w:t>
      </w:r>
    </w:p>
    <w:p w14:paraId="75F812B6" w14:textId="033752D8" w:rsidR="008C5FE5" w:rsidRPr="009941D2" w:rsidRDefault="00AD6D2C"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OSJEČKO-BARANJSKA ŽUPANIJA</w:t>
      </w:r>
    </w:p>
    <w:p w14:paraId="66EC98C0" w14:textId="77777777" w:rsidR="00AD6D2C" w:rsidRPr="009941D2" w:rsidRDefault="00AD6D2C"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OPĆINA KNEŽEVI VINOGRADI</w:t>
      </w:r>
    </w:p>
    <w:p w14:paraId="3379EE20" w14:textId="77777777" w:rsidR="00B92D0F" w:rsidRPr="009941D2" w:rsidRDefault="00B92D0F" w:rsidP="00B92D0F">
      <w:pPr>
        <w:jc w:val="both"/>
        <w:rPr>
          <w:rFonts w:ascii="Times New Roman" w:eastAsia="Times New Roman" w:hAnsi="Times New Roman" w:cs="Times New Roman"/>
          <w:noProof w:val="0"/>
        </w:rPr>
      </w:pPr>
    </w:p>
    <w:p w14:paraId="67B11731" w14:textId="77C2F2BF" w:rsidR="00B92D0F" w:rsidRPr="009941D2" w:rsidRDefault="00C9578C" w:rsidP="00B92D0F">
      <w:pPr>
        <w:rPr>
          <w:rFonts w:ascii="Times New Roman" w:hAnsi="Times New Roman" w:cs="Times New Roman"/>
        </w:rPr>
      </w:pPr>
      <w:r w:rsidRPr="009941D2">
        <w:rPr>
          <w:rFonts w:ascii="Times New Roman" w:eastAsia="Times New Roman" w:hAnsi="Times New Roman" w:cs="Times New Roman"/>
          <w:noProof w:val="0"/>
          <w:color w:val="000000"/>
          <w:lang w:eastAsia="hr-HR"/>
        </w:rPr>
        <w:t>KLASA:</w:t>
      </w:r>
      <w:r w:rsidR="00275B0C" w:rsidRPr="009941D2">
        <w:rPr>
          <w:rFonts w:ascii="Times New Roman" w:eastAsia="Times New Roman" w:hAnsi="Times New Roman" w:cs="Times New Roman"/>
          <w:noProof w:val="0"/>
          <w:color w:val="000000"/>
          <w:lang w:eastAsia="hr-HR"/>
        </w:rPr>
        <w:t xml:space="preserve"> </w:t>
      </w:r>
      <w:r w:rsidRPr="009941D2">
        <w:rPr>
          <w:rFonts w:ascii="Times New Roman" w:eastAsia="Times New Roman" w:hAnsi="Times New Roman" w:cs="Times New Roman"/>
          <w:noProof w:val="0"/>
          <w:color w:val="000000"/>
          <w:lang w:eastAsia="hr-HR"/>
        </w:rPr>
        <w:t xml:space="preserve"> </w:t>
      </w:r>
      <w:r w:rsidR="00B92D0F" w:rsidRPr="009941D2">
        <w:rPr>
          <w:rFonts w:ascii="Times New Roman" w:eastAsia="Times New Roman" w:hAnsi="Times New Roman" w:cs="Times New Roman"/>
          <w:noProof w:val="0"/>
          <w:color w:val="000000"/>
          <w:lang w:eastAsia="hr-HR"/>
        </w:rPr>
        <w:t>363-01/26-02/01</w:t>
      </w:r>
      <w:r w:rsidR="008C5FE5" w:rsidRPr="009941D2">
        <w:rPr>
          <w:rFonts w:ascii="Times New Roman" w:eastAsia="Times New Roman" w:hAnsi="Times New Roman" w:cs="Times New Roman"/>
          <w:noProof w:val="0"/>
          <w:color w:val="000000"/>
          <w:lang w:eastAsia="hr-HR"/>
        </w:rPr>
        <w:t xml:space="preserve"> </w:t>
      </w:r>
    </w:p>
    <w:p w14:paraId="0FD39D47" w14:textId="3B225B5A" w:rsidR="00B92D0F" w:rsidRPr="009941D2" w:rsidRDefault="00C9578C" w:rsidP="00B92D0F">
      <w:pPr>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 xml:space="preserve">URBROJ: </w:t>
      </w:r>
      <w:r w:rsidR="00B92D0F" w:rsidRPr="009941D2">
        <w:rPr>
          <w:rFonts w:ascii="Times New Roman" w:eastAsia="Times New Roman" w:hAnsi="Times New Roman" w:cs="Times New Roman"/>
          <w:noProof w:val="0"/>
          <w:color w:val="000000"/>
          <w:lang w:eastAsia="hr-HR"/>
        </w:rPr>
        <w:t>2158-23-03/01-26-1</w:t>
      </w:r>
    </w:p>
    <w:p w14:paraId="4445648A" w14:textId="38614596" w:rsidR="00B92D0F" w:rsidRPr="009941D2" w:rsidRDefault="003643E5" w:rsidP="00B92D0F">
      <w:pPr>
        <w:rPr>
          <w:rFonts w:ascii="Times New Roman" w:eastAsia="Times New Roman" w:hAnsi="Times New Roman" w:cs="Times New Roman"/>
          <w:noProof w:val="0"/>
          <w:color w:val="000000"/>
          <w:lang w:eastAsia="hr-HR"/>
        </w:rPr>
      </w:pPr>
      <w:r w:rsidRPr="003643E5">
        <w:rPr>
          <w:rFonts w:ascii="Times New Roman" w:eastAsia="Times New Roman" w:hAnsi="Times New Roman" w:cs="Times New Roman"/>
          <w:noProof w:val="0"/>
          <w:lang w:eastAsia="hr-HR"/>
        </w:rPr>
        <w:t>Kn.Vinogradi</w:t>
      </w:r>
      <w:r w:rsidR="00C9578C" w:rsidRPr="009941D2">
        <w:rPr>
          <w:rFonts w:ascii="Times New Roman" w:eastAsia="Times New Roman" w:hAnsi="Times New Roman" w:cs="Times New Roman"/>
          <w:noProof w:val="0"/>
          <w:lang w:eastAsia="hr-HR"/>
        </w:rPr>
        <w:t xml:space="preserve">, </w:t>
      </w:r>
      <w:r w:rsidR="00B92D0F" w:rsidRPr="009941D2">
        <w:rPr>
          <w:rFonts w:ascii="Times New Roman" w:eastAsia="Times New Roman" w:hAnsi="Times New Roman" w:cs="Times New Roman"/>
          <w:noProof w:val="0"/>
          <w:color w:val="000000"/>
          <w:lang w:eastAsia="hr-HR"/>
        </w:rPr>
        <w:t>10.04.2026.</w:t>
      </w:r>
    </w:p>
    <w:p w14:paraId="6288A7D1" w14:textId="77777777" w:rsidR="00B92D0F" w:rsidRPr="009941D2" w:rsidRDefault="00B92D0F" w:rsidP="00B92D0F">
      <w:pPr>
        <w:spacing w:after="160" w:line="259" w:lineRule="auto"/>
        <w:rPr>
          <w:rFonts w:ascii="Times New Roman" w:eastAsia="Times New Roman" w:hAnsi="Times New Roman" w:cs="Times New Roman"/>
          <w:noProof w:val="0"/>
        </w:rPr>
      </w:pPr>
    </w:p>
    <w:p w14:paraId="58EE1DF1" w14:textId="58DE3252" w:rsidR="00D731DC" w:rsidRPr="00D731DC" w:rsidRDefault="00D731DC" w:rsidP="00D731DC">
      <w:pPr>
        <w:jc w:val="both"/>
        <w:rPr>
          <w:rFonts w:ascii="Times New Roman" w:hAnsi="Times New Roman" w:cs="Times New Roman"/>
        </w:rPr>
      </w:pPr>
      <w:r w:rsidRPr="00D731DC">
        <w:rPr>
          <w:rFonts w:ascii="Times New Roman" w:hAnsi="Times New Roman" w:cs="Times New Roman"/>
        </w:rPr>
        <w:t xml:space="preserve">Općina Kneževi Vinogradi, temeljem članka 11. Zakona o pravu na pristup informacijama (Službeni glasnik 25/13, 85/15), dana </w:t>
      </w:r>
      <w:r w:rsidRPr="009941D2">
        <w:rPr>
          <w:rFonts w:ascii="Times New Roman" w:eastAsia="Times New Roman" w:hAnsi="Times New Roman" w:cs="Times New Roman"/>
          <w:noProof w:val="0"/>
          <w:color w:val="000000"/>
          <w:lang w:eastAsia="hr-HR"/>
        </w:rPr>
        <w:t>10.04.2026.</w:t>
      </w:r>
      <w:r>
        <w:rPr>
          <w:rFonts w:ascii="Times New Roman" w:eastAsia="Times New Roman" w:hAnsi="Times New Roman" w:cs="Times New Roman"/>
          <w:noProof w:val="0"/>
          <w:color w:val="000000"/>
          <w:lang w:eastAsia="hr-HR"/>
        </w:rPr>
        <w:t xml:space="preserve"> </w:t>
      </w:r>
      <w:r w:rsidRPr="00D731DC">
        <w:rPr>
          <w:rFonts w:ascii="Times New Roman" w:hAnsi="Times New Roman" w:cs="Times New Roman"/>
        </w:rPr>
        <w:t>objavljuje</w:t>
      </w:r>
      <w:r w:rsidRPr="00D731DC">
        <w:rPr>
          <w:rFonts w:ascii="Times New Roman" w:hAnsi="Times New Roman" w:cs="Times New Roman"/>
        </w:rPr>
        <w:tab/>
      </w:r>
    </w:p>
    <w:p w14:paraId="41FF94FF" w14:textId="77777777" w:rsidR="00D731DC" w:rsidRDefault="00D731DC" w:rsidP="00D731DC">
      <w:pPr>
        <w:rPr>
          <w:rFonts w:ascii="Times New Roman" w:hAnsi="Times New Roman" w:cs="Times New Roman"/>
          <w:b/>
        </w:rPr>
      </w:pPr>
    </w:p>
    <w:p w14:paraId="30A1CED0" w14:textId="77777777" w:rsidR="00D46A8E" w:rsidRPr="00D731DC" w:rsidRDefault="00D46A8E" w:rsidP="00D731DC">
      <w:pPr>
        <w:rPr>
          <w:rFonts w:ascii="Times New Roman" w:hAnsi="Times New Roman" w:cs="Times New Roman"/>
          <w:b/>
        </w:rPr>
      </w:pPr>
    </w:p>
    <w:p w14:paraId="0503CA70" w14:textId="77777777"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 xml:space="preserve">SAVJETOVANJE SA ZAINTERESIRANOM JAVNOŠĆU </w:t>
      </w:r>
    </w:p>
    <w:p w14:paraId="7D79EF52" w14:textId="19294AEC"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Nacrt prijedloga</w:t>
      </w:r>
      <w:r w:rsidR="00D46A8E">
        <w:rPr>
          <w:rFonts w:ascii="Times New Roman" w:hAnsi="Times New Roman" w:cs="Times New Roman"/>
          <w:b/>
        </w:rPr>
        <w:t xml:space="preserve"> Odluke o grobljima</w:t>
      </w:r>
    </w:p>
    <w:p w14:paraId="49DF0550" w14:textId="32A560C0"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 xml:space="preserve">Savjetovanje traje od </w:t>
      </w:r>
      <w:r w:rsidRPr="00D731DC">
        <w:rPr>
          <w:rFonts w:ascii="Times New Roman" w:eastAsia="Times New Roman" w:hAnsi="Times New Roman" w:cs="Times New Roman"/>
          <w:b/>
          <w:noProof w:val="0"/>
          <w:color w:val="000000"/>
          <w:lang w:eastAsia="hr-HR"/>
        </w:rPr>
        <w:t>10.04.2026.</w:t>
      </w:r>
      <w:r>
        <w:rPr>
          <w:rFonts w:ascii="Times New Roman" w:eastAsia="Times New Roman" w:hAnsi="Times New Roman" w:cs="Times New Roman"/>
          <w:b/>
          <w:noProof w:val="0"/>
          <w:color w:val="000000"/>
          <w:lang w:eastAsia="hr-HR"/>
        </w:rPr>
        <w:t xml:space="preserve"> </w:t>
      </w:r>
      <w:r w:rsidRPr="00D731DC">
        <w:rPr>
          <w:rFonts w:ascii="Times New Roman" w:hAnsi="Times New Roman" w:cs="Times New Roman"/>
          <w:b/>
        </w:rPr>
        <w:t xml:space="preserve">do </w:t>
      </w:r>
      <w:r w:rsidR="00D46A8E">
        <w:rPr>
          <w:rFonts w:ascii="Times New Roman" w:hAnsi="Times New Roman" w:cs="Times New Roman"/>
          <w:b/>
        </w:rPr>
        <w:t>10.5.2026.</w:t>
      </w:r>
    </w:p>
    <w:p w14:paraId="0BDBB6E4" w14:textId="77777777" w:rsidR="00D731DC" w:rsidRPr="00D731DC" w:rsidRDefault="00D731DC" w:rsidP="00D731DC">
      <w:pPr>
        <w:jc w:val="center"/>
        <w:rPr>
          <w:rFonts w:ascii="Times New Roman" w:hAnsi="Times New Roman" w:cs="Times New Roman"/>
        </w:rPr>
      </w:pPr>
    </w:p>
    <w:p w14:paraId="070400BA" w14:textId="77777777" w:rsidR="00D731DC" w:rsidRPr="00D731DC" w:rsidRDefault="00D731DC" w:rsidP="00D731DC">
      <w:pPr>
        <w:jc w:val="center"/>
        <w:rPr>
          <w:rFonts w:ascii="Times New Roman" w:hAnsi="Times New Roman" w:cs="Times New Roman"/>
        </w:rPr>
      </w:pPr>
    </w:p>
    <w:p w14:paraId="3F9CA661" w14:textId="4A87BDE1"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Pozivamo predstavnike zainteresirane javnosti da najkasnije do </w:t>
      </w:r>
      <w:r w:rsidR="00D46A8E" w:rsidRPr="00D46A8E">
        <w:rPr>
          <w:rFonts w:ascii="Times New Roman" w:hAnsi="Times New Roman" w:cs="Times New Roman"/>
        </w:rPr>
        <w:t xml:space="preserve">10.5.2026. </w:t>
      </w:r>
      <w:r w:rsidRPr="00D46A8E">
        <w:rPr>
          <w:rFonts w:ascii="Times New Roman" w:hAnsi="Times New Roman" w:cs="Times New Roman"/>
        </w:rPr>
        <w:t xml:space="preserve">godine dostave svoje prijedloge, komentare i primjedbe na predloženi Nacrt prijedloga </w:t>
      </w:r>
      <w:r w:rsidR="00D46A8E" w:rsidRPr="00D46A8E">
        <w:rPr>
          <w:rFonts w:ascii="Times New Roman" w:hAnsi="Times New Roman" w:cs="Times New Roman"/>
        </w:rPr>
        <w:t>Odluke o grobljima</w:t>
      </w:r>
      <w:r w:rsidRPr="00D46A8E">
        <w:rPr>
          <w:rFonts w:ascii="Times New Roman" w:hAnsi="Times New Roman" w:cs="Times New Roman"/>
        </w:rPr>
        <w:t xml:space="preserve"> s obrazloženjem, putem pošte ili osobno na adresu Jedinstveni upravni odjel Općine Kneževi Vinogradi</w:t>
      </w:r>
      <w:r w:rsidRPr="00D731DC">
        <w:rPr>
          <w:rFonts w:ascii="Times New Roman" w:hAnsi="Times New Roman" w:cs="Times New Roman"/>
        </w:rPr>
        <w:t xml:space="preserve">, Hrvatske Republike 3., 31309 Kneževi Vinogradi ili slanjem emaila na adresu </w:t>
      </w:r>
      <w:hyperlink r:id="rId6" w:history="1">
        <w:r w:rsidRPr="00D731DC">
          <w:rPr>
            <w:rStyle w:val="Hiperveza"/>
            <w:rFonts w:ascii="Times New Roman" w:hAnsi="Times New Roman" w:cs="Times New Roman"/>
          </w:rPr>
          <w:t>opcina@knezevi-vinogradi.hr</w:t>
        </w:r>
      </w:hyperlink>
      <w:r w:rsidRPr="00D731DC">
        <w:rPr>
          <w:rFonts w:ascii="Times New Roman" w:hAnsi="Times New Roman" w:cs="Times New Roman"/>
        </w:rPr>
        <w:t xml:space="preserve"> </w:t>
      </w:r>
    </w:p>
    <w:p w14:paraId="77A7A3A9" w14:textId="77777777"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Prijedlozi, komentari i primjedbe na predloženi Nacrt dostavljaju se isključivo na  obrascu za savjetovanje sa zainteresiranom javnošću kojeg možete preuzeti na internet stranicama Općine Kneževi Vinogradi. </w:t>
      </w:r>
    </w:p>
    <w:p w14:paraId="753E9515" w14:textId="77777777"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Prijedlozi, komentari i primjedbe moraju sadržavati adresu podnositelja i biti čitko napisani, uz jasno navođenje dijela prijedloga akta/dokumenta na kojeg se odnose, te biti dostavljeni u gore navedenom roku. </w:t>
      </w:r>
    </w:p>
    <w:p w14:paraId="7CEA4F38" w14:textId="77777777"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Po završetku savjetovanja, svi pristigli prijedlozi bit će javno dostupni na internetskoj stranici Općine Kneževi Vinogradi. Ukoliko ne želite da Vaš prijedlog bude javno objavljen, molimo da to jasno istaknete pri slanju prijedloga . </w:t>
      </w:r>
    </w:p>
    <w:p w14:paraId="43EE1CA4" w14:textId="2A99A765"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Nacrt prijedloga</w:t>
      </w:r>
      <w:r w:rsidR="00D46A8E">
        <w:rPr>
          <w:rFonts w:ascii="Times New Roman" w:hAnsi="Times New Roman" w:cs="Times New Roman"/>
        </w:rPr>
        <w:t xml:space="preserve"> Odluke o grobljima </w:t>
      </w:r>
      <w:r w:rsidRPr="00D731DC">
        <w:rPr>
          <w:rFonts w:ascii="Times New Roman" w:hAnsi="Times New Roman" w:cs="Times New Roman"/>
          <w:b/>
        </w:rPr>
        <w:t xml:space="preserve"> </w:t>
      </w:r>
      <w:r w:rsidRPr="00D731DC">
        <w:rPr>
          <w:rFonts w:ascii="Times New Roman" w:hAnsi="Times New Roman" w:cs="Times New Roman"/>
        </w:rPr>
        <w:t xml:space="preserve">objavljen je u elektronskom obliku na internet stranici Općine Kneževi Vinogradi </w:t>
      </w:r>
      <w:hyperlink r:id="rId7" w:history="1">
        <w:r w:rsidRPr="00D731DC">
          <w:rPr>
            <w:rStyle w:val="Hiperveza"/>
            <w:rFonts w:ascii="Times New Roman" w:hAnsi="Times New Roman" w:cs="Times New Roman"/>
          </w:rPr>
          <w:t>www.knezevi-vinogradi.hr</w:t>
        </w:r>
      </w:hyperlink>
      <w:r w:rsidRPr="00D731DC">
        <w:rPr>
          <w:rFonts w:ascii="Times New Roman" w:hAnsi="Times New Roman" w:cs="Times New Roman"/>
        </w:rPr>
        <w:t xml:space="preserve"> . </w:t>
      </w:r>
    </w:p>
    <w:p w14:paraId="20CD9ED0" w14:textId="213C590E" w:rsidR="00D731DC" w:rsidRPr="00D731DC" w:rsidRDefault="00D731DC" w:rsidP="00D731DC">
      <w:pPr>
        <w:ind w:firstLine="708"/>
        <w:jc w:val="both"/>
        <w:rPr>
          <w:rFonts w:ascii="Times New Roman" w:hAnsi="Times New Roman" w:cs="Times New Roman"/>
        </w:rPr>
      </w:pPr>
      <w:r w:rsidRPr="00D731DC">
        <w:rPr>
          <w:rFonts w:ascii="Times New Roman" w:hAnsi="Times New Roman" w:cs="Times New Roman"/>
        </w:rPr>
        <w:t xml:space="preserve">Nacrt prijedloga </w:t>
      </w:r>
      <w:r w:rsidR="00D46A8E" w:rsidRPr="00D46A8E">
        <w:rPr>
          <w:rFonts w:ascii="Times New Roman" w:hAnsi="Times New Roman" w:cs="Times New Roman"/>
          <w:bCs/>
        </w:rPr>
        <w:t>Odluke o grobljima</w:t>
      </w:r>
      <w:r w:rsidRPr="00D731DC">
        <w:rPr>
          <w:rFonts w:ascii="Times New Roman" w:hAnsi="Times New Roman" w:cs="Times New Roman"/>
          <w:b/>
        </w:rPr>
        <w:t xml:space="preserve"> </w:t>
      </w:r>
      <w:r w:rsidRPr="00D731DC">
        <w:rPr>
          <w:rFonts w:ascii="Times New Roman" w:hAnsi="Times New Roman" w:cs="Times New Roman"/>
        </w:rPr>
        <w:t xml:space="preserve">koji je objavljen na internet stranici Općine Kneževi Vinogradi  predstavlja radni materijal pa je kao takav podložan ispravcima, izmjenama i dopunama te se ne može smatrati konačnim, u cijelosti dovršenim prijedlogom Odluke. </w:t>
      </w:r>
    </w:p>
    <w:p w14:paraId="0B52663C" w14:textId="77777777" w:rsidR="00D731DC" w:rsidRPr="00D731DC" w:rsidRDefault="00D731DC" w:rsidP="00D731DC">
      <w:pPr>
        <w:ind w:firstLine="708"/>
        <w:rPr>
          <w:rFonts w:ascii="Times New Roman" w:hAnsi="Times New Roman" w:cs="Times New Roman"/>
        </w:rPr>
      </w:pPr>
      <w:r w:rsidRPr="00D731DC">
        <w:rPr>
          <w:rFonts w:ascii="Times New Roman" w:hAnsi="Times New Roman" w:cs="Times New Roman"/>
        </w:rPr>
        <w:t xml:space="preserve">Tekst ove objave objavit će se na web stranici Općine Kneževi Vinogradi – </w:t>
      </w:r>
      <w:hyperlink r:id="rId8" w:history="1">
        <w:r w:rsidRPr="00D731DC">
          <w:rPr>
            <w:rStyle w:val="Hiperveza"/>
            <w:rFonts w:ascii="Times New Roman" w:hAnsi="Times New Roman" w:cs="Times New Roman"/>
          </w:rPr>
          <w:t>www.knezevi-vinogradi.hr</w:t>
        </w:r>
      </w:hyperlink>
      <w:r w:rsidRPr="00D731DC">
        <w:rPr>
          <w:rFonts w:ascii="Times New Roman" w:hAnsi="Times New Roman" w:cs="Times New Roman"/>
        </w:rPr>
        <w:t xml:space="preserve"> u  rubrici „Savjetovanje sa javnošću“ i na Oglasnoj ploči Općine.. </w:t>
      </w:r>
    </w:p>
    <w:p w14:paraId="7328C903" w14:textId="77777777" w:rsidR="00D731DC" w:rsidRPr="00D731DC" w:rsidRDefault="00D731DC" w:rsidP="00D731DC">
      <w:pPr>
        <w:ind w:firstLine="708"/>
        <w:rPr>
          <w:rFonts w:ascii="Times New Roman" w:hAnsi="Times New Roman" w:cs="Times New Roman"/>
        </w:rPr>
      </w:pPr>
      <w:r w:rsidRPr="00D731DC">
        <w:rPr>
          <w:rFonts w:ascii="Times New Roman" w:hAnsi="Times New Roman" w:cs="Times New Roman"/>
        </w:rPr>
        <w:t>Po provedenom savjetovanju izradit će se izvješće o provedenom savjetovanju.</w:t>
      </w:r>
    </w:p>
    <w:p w14:paraId="7EB46149" w14:textId="77777777" w:rsidR="00D731DC" w:rsidRDefault="00D731DC" w:rsidP="00D731DC">
      <w:pPr>
        <w:rPr>
          <w:rFonts w:ascii="Times New Roman" w:hAnsi="Times New Roman" w:cs="Times New Roman"/>
        </w:rPr>
      </w:pPr>
    </w:p>
    <w:p w14:paraId="23F4E2D3" w14:textId="77777777" w:rsidR="00D46A8E" w:rsidRDefault="00D46A8E" w:rsidP="00D731DC">
      <w:pPr>
        <w:rPr>
          <w:rFonts w:ascii="Times New Roman" w:hAnsi="Times New Roman" w:cs="Times New Roman"/>
        </w:rPr>
      </w:pPr>
    </w:p>
    <w:p w14:paraId="37596767" w14:textId="77777777" w:rsidR="00D46A8E" w:rsidRPr="00D731DC" w:rsidRDefault="00D46A8E" w:rsidP="00D731DC">
      <w:pPr>
        <w:rPr>
          <w:rFonts w:ascii="Times New Roman" w:hAnsi="Times New Roman" w:cs="Times New Roman"/>
        </w:rPr>
      </w:pPr>
    </w:p>
    <w:p w14:paraId="503AA9F7" w14:textId="69052E9E" w:rsidR="00B92D0F" w:rsidRPr="00D731DC" w:rsidRDefault="00D731DC" w:rsidP="00D731DC">
      <w:pPr>
        <w:spacing w:after="160" w:line="259" w:lineRule="auto"/>
        <w:rPr>
          <w:rFonts w:ascii="Times New Roman" w:eastAsia="Times New Roman" w:hAnsi="Times New Roman" w:cs="Times New Roman"/>
          <w:noProof w:val="0"/>
        </w:rPr>
      </w:pP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t>OPĆINA KNEŽEVI VINOGRAD</w:t>
      </w: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135B6"/>
    <w:rsid w:val="00275B0C"/>
    <w:rsid w:val="00301B8E"/>
    <w:rsid w:val="00347D72"/>
    <w:rsid w:val="003643E5"/>
    <w:rsid w:val="003F65C1"/>
    <w:rsid w:val="00444DA7"/>
    <w:rsid w:val="00693AB1"/>
    <w:rsid w:val="008A562A"/>
    <w:rsid w:val="008C5FE5"/>
    <w:rsid w:val="009101C1"/>
    <w:rsid w:val="009941D2"/>
    <w:rsid w:val="009B7A12"/>
    <w:rsid w:val="00A836D0"/>
    <w:rsid w:val="00AC35DA"/>
    <w:rsid w:val="00AD6D2C"/>
    <w:rsid w:val="00B92D0F"/>
    <w:rsid w:val="00C9578C"/>
    <w:rsid w:val="00D46A8E"/>
    <w:rsid w:val="00D707B3"/>
    <w:rsid w:val="00D731DC"/>
    <w:rsid w:val="00E55405"/>
    <w:rsid w:val="00FF58C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ezevi-vinogradi.hr" TargetMode="External"/><Relationship Id="rId3" Type="http://schemas.openxmlformats.org/officeDocument/2006/relationships/settings" Target="settings.xml"/><Relationship Id="rId7" Type="http://schemas.openxmlformats.org/officeDocument/2006/relationships/hyperlink" Target="http://www.knezevi-vinogradi.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pcina@knezevi-vinogradi.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7F03866-7951-456E-B77C-6F07BF0A115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2212</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Zeljka Kolaric</cp:lastModifiedBy>
  <cp:revision>2</cp:revision>
  <cp:lastPrinted>2014-11-26T14:09:00Z</cp:lastPrinted>
  <dcterms:created xsi:type="dcterms:W3CDTF">2026-04-14T11:03:00Z</dcterms:created>
  <dcterms:modified xsi:type="dcterms:W3CDTF">2026-04-14T11:03:00Z</dcterms:modified>
</cp:coreProperties>
</file>